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465" w:lineRule="atLeast"/>
        <w:rPr>
          <w:rStyle w:val="7"/>
          <w:rFonts w:ascii="仿宋_GB2312" w:eastAsia="仿宋_GB2312" w:cs="仿宋_GB2312"/>
          <w:sz w:val="21"/>
          <w:szCs w:val="21"/>
        </w:rPr>
      </w:pPr>
      <w:r>
        <w:rPr>
          <w:rStyle w:val="7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NRB</w:t>
      </w:r>
      <w:r>
        <w:rPr>
          <w:rFonts w:hint="eastAsia" w:ascii="仿宋_GB2312" w:hAnsi="宋体" w:eastAsia="仿宋_GB2312" w:cs="仿宋"/>
          <w:b/>
          <w:bCs/>
          <w:kern w:val="1"/>
          <w:sz w:val="24"/>
        </w:rPr>
        <w:t>-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YFYC-</w:t>
      </w:r>
      <w:r>
        <w:rPr>
          <w:rFonts w:hint="eastAsia" w:ascii="仿宋_GB2312" w:hAnsi="宋体" w:eastAsia="仿宋_GB2312" w:cs="仿宋"/>
          <w:b/>
          <w:color w:val="auto"/>
          <w:kern w:val="1"/>
          <w:sz w:val="24"/>
          <w:u w:val="none"/>
          <w:lang w:val="en-US" w:eastAsia="zh-CN"/>
        </w:rPr>
        <w:t>GLZL</w:t>
      </w:r>
      <w:r>
        <w:rPr>
          <w:rFonts w:hint="eastAsia" w:ascii="仿宋_GB2312" w:hAnsi="宋体" w:eastAsia="仿宋_GB2312" w:cs="仿宋"/>
          <w:b/>
          <w:bCs/>
          <w:kern w:val="1"/>
          <w:sz w:val="24"/>
          <w:lang w:val="en-US" w:eastAsia="zh-CN"/>
        </w:rPr>
        <w:t>-2023-1</w:t>
      </w:r>
    </w:p>
    <w:tbl>
      <w:tblPr>
        <w:tblStyle w:val="5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联系方式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jc w:val="both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一分公司益常高速扩容工程第六合同段项目经理部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声明：招标文件为我公司自愿购买，并愿意缴纳招标投标保证金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万元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5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5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5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80" w:lineRule="exact"/>
                    <w:jc w:val="both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一分公司益常高速扩容工程第六合同段项目钢模板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 w:firstLine="590" w:firstLineChars="245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NRB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-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  <w:lang w:val="en-US" w:eastAsia="zh-CN"/>
                    </w:rPr>
                    <w:t>YFYC-GLZL-2023-1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9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